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B34D7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5E1FFC" w:rsidRPr="008B34D7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B34D7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5E1FFC" w:rsidRPr="008B34D7" w:rsidTr="00E06644">
        <w:trPr>
          <w:jc w:val="center"/>
        </w:trPr>
        <w:tc>
          <w:tcPr>
            <w:tcW w:w="4698" w:type="dxa"/>
          </w:tcPr>
          <w:p w:rsidR="005E1FFC" w:rsidRPr="008B34D7" w:rsidRDefault="005E1FFC" w:rsidP="00E0664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5E1FFC" w:rsidRPr="008B34D7" w:rsidRDefault="005E1FFC" w:rsidP="00E0664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5E1FFC" w:rsidRPr="008B34D7" w:rsidRDefault="005E1FFC" w:rsidP="005E1FFC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1FFC" w:rsidRPr="008B34D7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 xml:space="preserve">1. Цели </w:t>
      </w:r>
      <w:r>
        <w:rPr>
          <w:rFonts w:ascii="Times New Roman" w:hAnsi="Times New Roman"/>
          <w:color w:val="000000"/>
          <w:sz w:val="24"/>
          <w:szCs w:val="24"/>
        </w:rPr>
        <w:t>выполнения Работ</w:t>
      </w:r>
    </w:p>
    <w:p w:rsidR="005E1FFC" w:rsidRPr="008B34D7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4D7">
        <w:rPr>
          <w:rFonts w:ascii="Times New Roman" w:hAnsi="Times New Roman"/>
          <w:sz w:val="24"/>
          <w:szCs w:val="24"/>
        </w:rPr>
        <w:t>Внеплановый ремонт Томографа магнитно-резонансного MAGNETOM ESSENZA A Tim+Dot System с принадлежностями, заводской номер – 150094, инвентарный номер – 7456054, г.в. 2018, расположенный в хирургическом стационаре по адресу: 443029, г. Самара, ул. Ново-Садовая, 222б, стр 1,2.</w:t>
      </w:r>
      <w:r w:rsidRPr="008B34D7">
        <w:rPr>
          <w:rFonts w:ascii="Times New Roman" w:hAnsi="Times New Roman"/>
          <w:sz w:val="24"/>
          <w:szCs w:val="24"/>
        </w:rPr>
        <w:tab/>
      </w:r>
      <w:r w:rsidRPr="008B34D7">
        <w:rPr>
          <w:rFonts w:ascii="Times New Roman" w:hAnsi="Times New Roman"/>
          <w:sz w:val="24"/>
          <w:szCs w:val="24"/>
        </w:rPr>
        <w:tab/>
      </w:r>
      <w:r w:rsidRPr="008B34D7">
        <w:rPr>
          <w:rFonts w:ascii="Times New Roman" w:hAnsi="Times New Roman"/>
          <w:sz w:val="24"/>
          <w:szCs w:val="24"/>
        </w:rPr>
        <w:tab/>
      </w:r>
      <w:r w:rsidRPr="008B34D7">
        <w:rPr>
          <w:rFonts w:ascii="Times New Roman" w:hAnsi="Times New Roman"/>
          <w:sz w:val="24"/>
          <w:szCs w:val="24"/>
        </w:rPr>
        <w:tab/>
      </w:r>
    </w:p>
    <w:p w:rsidR="005E1FFC" w:rsidRPr="008B34D7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5E1FFC" w:rsidRPr="008B34D7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</w:t>
      </w:r>
      <w:r w:rsidRPr="008B34D7">
        <w:rPr>
          <w:rFonts w:ascii="Times New Roman" w:hAnsi="Times New Roman"/>
          <w:sz w:val="24"/>
          <w:szCs w:val="24"/>
        </w:rPr>
        <w:t>оказываются в соответствии с требованиями:</w:t>
      </w:r>
    </w:p>
    <w:p w:rsidR="005E1FFC" w:rsidRPr="008B34D7" w:rsidRDefault="005E1FFC" w:rsidP="005E1FF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B34D7">
        <w:rPr>
          <w:sz w:val="24"/>
          <w:szCs w:val="24"/>
        </w:rPr>
        <w:t xml:space="preserve">ГОСТ Р 57501-2017 «Техническое обслуживание медицинских изделий. Требования для государственных закупок» </w:t>
      </w:r>
    </w:p>
    <w:p w:rsidR="005E1FFC" w:rsidRPr="008B34D7" w:rsidRDefault="005E1FFC" w:rsidP="005E1FF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B34D7">
        <w:rPr>
          <w:sz w:val="24"/>
          <w:szCs w:val="24"/>
        </w:rPr>
        <w:t>ГОСТ Р 56606-2015. «Контроль технического состояния и функционирования медицинских изделий. Основные положения»;</w:t>
      </w:r>
    </w:p>
    <w:p w:rsidR="005E1FFC" w:rsidRPr="008B34D7" w:rsidRDefault="00276259" w:rsidP="005E1FF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5E1FFC" w:rsidRPr="008B34D7">
          <w:rPr>
            <w:sz w:val="24"/>
            <w:szCs w:val="24"/>
            <w:lang w:eastAsia="en-US"/>
          </w:rPr>
          <w:t>ГОСТ Р 8.568</w:t>
        </w:r>
      </w:hyperlink>
      <w:r w:rsidR="005E1FFC" w:rsidRPr="008B34D7">
        <w:rPr>
          <w:sz w:val="24"/>
          <w:szCs w:val="24"/>
        </w:rPr>
        <w:t>-2017</w:t>
      </w:r>
      <w:r w:rsidR="005E1FFC" w:rsidRPr="008B34D7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E1FFC" w:rsidRPr="008B34D7" w:rsidRDefault="005E1FFC" w:rsidP="005E1FF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B34D7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E1FFC" w:rsidRPr="008B34D7" w:rsidRDefault="005E1FFC" w:rsidP="005E1FF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5E1FFC" w:rsidRPr="008B34D7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 xml:space="preserve">3. Перечень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 w:rsidRPr="008B34D7">
        <w:rPr>
          <w:rFonts w:ascii="Times New Roman" w:hAnsi="Times New Roman"/>
          <w:color w:val="000000"/>
          <w:sz w:val="24"/>
          <w:szCs w:val="24"/>
        </w:rPr>
        <w:t>, оказываемых в рамках настоящего Договора, и их характеристики:</w:t>
      </w:r>
    </w:p>
    <w:p w:rsidR="005E1FFC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 w:rsidRPr="008B34D7">
        <w:rPr>
          <w:rFonts w:ascii="Times New Roman" w:hAnsi="Times New Roman"/>
          <w:color w:val="000000"/>
          <w:sz w:val="24"/>
          <w:szCs w:val="24"/>
        </w:rPr>
        <w:t xml:space="preserve"> по выполнению внепланового ремонта (1, 2 и/или 3 группа сложности).</w:t>
      </w:r>
    </w:p>
    <w:p w:rsidR="009E7728" w:rsidRPr="008B34D7" w:rsidRDefault="009E7728" w:rsidP="005E1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9E7728">
        <w:rPr>
          <w:rFonts w:ascii="Times New Roman" w:hAnsi="Times New Roman"/>
          <w:color w:val="000000"/>
          <w:sz w:val="24"/>
          <w:szCs w:val="24"/>
        </w:rPr>
        <w:t>Основание для выполнения работ:</w:t>
      </w:r>
      <w:r w:rsidRPr="009E7728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5E1FFC" w:rsidRPr="008B34D7" w:rsidRDefault="005E1FFC" w:rsidP="005E1FF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4D7">
        <w:rPr>
          <w:rFonts w:ascii="Times New Roman" w:hAnsi="Times New Roman"/>
          <w:b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Работы </w:t>
      </w:r>
      <w:r w:rsidRPr="008B34D7">
        <w:rPr>
          <w:rFonts w:ascii="Times New Roman" w:hAnsi="Times New Roman"/>
          <w:b/>
          <w:color w:val="000000"/>
          <w:sz w:val="24"/>
          <w:szCs w:val="24"/>
        </w:rPr>
        <w:t>по ремонту МО</w:t>
      </w:r>
    </w:p>
    <w:p w:rsidR="005E1FFC" w:rsidRPr="008B34D7" w:rsidRDefault="005E1FFC" w:rsidP="005E1FFC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 xml:space="preserve">3.1.1.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 w:rsidRPr="008B34D7">
        <w:rPr>
          <w:rFonts w:ascii="Times New Roman" w:hAnsi="Times New Roman"/>
          <w:color w:val="000000"/>
          <w:sz w:val="24"/>
          <w:szCs w:val="24"/>
        </w:rPr>
        <w:t>по ремонту МО</w:t>
      </w:r>
      <w:r w:rsidRPr="008B34D7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5E1FFC" w:rsidRPr="008B34D7" w:rsidRDefault="005E1FFC" w:rsidP="005E1FF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4D7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Работ</w:t>
      </w:r>
      <w:r w:rsidRPr="008B34D7">
        <w:rPr>
          <w:rFonts w:ascii="Times New Roman" w:hAnsi="Times New Roman"/>
          <w:sz w:val="24"/>
          <w:szCs w:val="24"/>
        </w:rPr>
        <w:t xml:space="preserve"> по внеплановому ремонту МО входит:</w:t>
      </w:r>
    </w:p>
    <w:p w:rsidR="005E1FFC" w:rsidRPr="008B34D7" w:rsidRDefault="005E1FFC" w:rsidP="005E1FFC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5E1FFC" w:rsidRPr="008B34D7" w:rsidTr="009E772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5E1FFC" w:rsidRPr="008B34D7" w:rsidTr="005E1FFC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FFC" w:rsidRPr="008B34D7" w:rsidTr="009E7728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5E1FFC" w:rsidRPr="008B34D7" w:rsidTr="009E7728">
        <w:trPr>
          <w:trHeight w:val="30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5E1FFC" w:rsidRPr="008B34D7" w:rsidRDefault="005E1FFC" w:rsidP="005244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>Перечень МО, подлежащего ремонту, и конкретные ремонтные мероприятия указаны в Приложение №1 к настоящему тех.заданию).</w:t>
            </w:r>
          </w:p>
        </w:tc>
      </w:tr>
      <w:tr w:rsidR="005E1FFC" w:rsidRPr="008B34D7" w:rsidTr="005E1FFC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FFC" w:rsidRPr="008B34D7" w:rsidTr="005E1FFC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Ремонт МО</w:t>
            </w:r>
          </w:p>
        </w:tc>
      </w:tr>
      <w:tr w:rsidR="005E1FFC" w:rsidRPr="008B34D7" w:rsidTr="009E772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5E1FFC" w:rsidRPr="008B34D7" w:rsidTr="009E772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заявке Заказчика</w:t>
            </w:r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E1FFC" w:rsidRPr="008B34D7" w:rsidTr="009E772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 xml:space="preserve">Сроки реагирования на заявку по неисправности медицинского оборудования: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48 часов после подачи заявки Заказчика, отправленной посредством автоматизированной системы заказов «Электронный ордер» и письменного уведомления по электронной почте. </w:t>
            </w:r>
          </w:p>
        </w:tc>
      </w:tr>
      <w:tr w:rsidR="005E1FFC" w:rsidRPr="008B34D7" w:rsidTr="009E772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7 календарных дней с омента заключения договора</w:t>
            </w:r>
          </w:p>
        </w:tc>
      </w:tr>
      <w:tr w:rsidR="005E1FFC" w:rsidRPr="008B34D7" w:rsidTr="009E772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расходный элементов;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сушка изделий, устранение люфтов, необходимая регулировка/колибровка/настройка изделия. </w:t>
            </w:r>
          </w:p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5E1FFC" w:rsidRPr="008B34D7" w:rsidRDefault="005E1FFC" w:rsidP="00E06644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5E1FFC" w:rsidRPr="008B34D7" w:rsidRDefault="005E1FFC" w:rsidP="00E06644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5E1FFC" w:rsidRPr="008B34D7" w:rsidRDefault="005E1FFC" w:rsidP="00E06644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5E1FFC" w:rsidRPr="008B34D7" w:rsidRDefault="005E1FFC" w:rsidP="00E06644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E1FFC" w:rsidRPr="008B34D7" w:rsidRDefault="005E1FFC" w:rsidP="00E06644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5E1FFC" w:rsidRPr="008B34D7" w:rsidTr="005E1FFC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E1FFC" w:rsidRPr="008B34D7" w:rsidTr="009E7728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5E1FFC" w:rsidRPr="008B34D7" w:rsidTr="009E7728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строго в соответствии с эксплуатационной технической документацией производителя томограф магнитно-резонансный MAGNETOM ESSENZA с принадлежностями MAGNETOM ESSENZA, A Tim+Dоt System силами сертифицированного инженерного персонала.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заправки жидким гелием магнитно-резонансных томографов в объеме, предусмотренном условиями контракта, с использованием при этом сопутствующих материалов и оборудования.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Наличие у Подрядчика действующей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-по периодическому и текущему техническому обслуживанию медицинской техники;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-контроль технического состояния медицинской техники;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 xml:space="preserve"> -ремонт медицинской техники.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Постановлением Госгортехнадзора РФ от 11.06.2003 г. № 91 «Об утверждении правил устройства и безопасности эксплуатации сосудов, работающих под давлением»).</w:t>
            </w:r>
          </w:p>
          <w:p w:rsidR="009E7728" w:rsidRPr="009E7728" w:rsidRDefault="009E7728" w:rsidP="009E7728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5E1FFC" w:rsidRPr="009E7728" w:rsidRDefault="009E7728" w:rsidP="009E7728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728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5E1FFC" w:rsidRPr="008B34D7" w:rsidTr="009E7728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E1FFC" w:rsidRPr="008B34D7" w:rsidTr="009E772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FC" w:rsidRPr="008B34D7" w:rsidRDefault="009E7728" w:rsidP="009E7728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E772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12 (двенадцать) месяцев с даты подписания Сторонами акта сдачи-приемки выполненных работ</w:t>
            </w:r>
          </w:p>
        </w:tc>
      </w:tr>
      <w:tr w:rsidR="005E1FFC" w:rsidRPr="008B34D7" w:rsidTr="009E772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FC" w:rsidRPr="008B34D7" w:rsidRDefault="005E1FFC" w:rsidP="00E06644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E1FFC" w:rsidRPr="008B34D7" w:rsidTr="009E772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FC" w:rsidRPr="008B34D7" w:rsidRDefault="005E1FFC" w:rsidP="00E06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E1FFC" w:rsidRPr="008B34D7" w:rsidTr="009E772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C" w:rsidRPr="008B34D7" w:rsidRDefault="005E1FFC" w:rsidP="00E06644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>443029, г. Самара, ул. Ново-Садовая, 222б, стр 1,2</w:t>
            </w:r>
          </w:p>
        </w:tc>
      </w:tr>
    </w:tbl>
    <w:p w:rsidR="005E1FFC" w:rsidRDefault="005E1FFC" w:rsidP="005E1FFC">
      <w:pPr>
        <w:rPr>
          <w:sz w:val="20"/>
          <w:szCs w:val="20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E31439" w:rsidRDefault="00E31439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  <w:sectPr w:rsidR="00E31439" w:rsidSect="00386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FFC" w:rsidRPr="00F202DD" w:rsidRDefault="005E1FFC" w:rsidP="005E1FFC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F202DD">
        <w:rPr>
          <w:rFonts w:ascii="Times New Roman" w:hAnsi="Times New Roman"/>
          <w:sz w:val="24"/>
          <w:szCs w:val="24"/>
          <w:lang w:eastAsia="de-DE"/>
        </w:rPr>
        <w:lastRenderedPageBreak/>
        <w:t>Перечень медицинского оборудовани</w:t>
      </w:r>
      <w:r>
        <w:rPr>
          <w:rFonts w:ascii="Times New Roman" w:hAnsi="Times New Roman"/>
          <w:sz w:val="24"/>
          <w:szCs w:val="24"/>
          <w:lang w:eastAsia="de-DE"/>
        </w:rPr>
        <w:t>я подлежащ</w:t>
      </w:r>
      <w:r w:rsidRPr="00F202DD">
        <w:rPr>
          <w:rFonts w:ascii="Times New Roman" w:hAnsi="Times New Roman"/>
          <w:sz w:val="24"/>
          <w:szCs w:val="24"/>
          <w:lang w:eastAsia="de-DE"/>
        </w:rPr>
        <w:t>его ремонту с указанием ремонтных работ</w:t>
      </w:r>
    </w:p>
    <w:tbl>
      <w:tblPr>
        <w:tblW w:w="16112" w:type="dxa"/>
        <w:tblInd w:w="-601" w:type="dxa"/>
        <w:tblLayout w:type="fixed"/>
        <w:tblLook w:val="04A0"/>
      </w:tblPr>
      <w:tblGrid>
        <w:gridCol w:w="644"/>
        <w:gridCol w:w="943"/>
        <w:gridCol w:w="1721"/>
        <w:gridCol w:w="3076"/>
        <w:gridCol w:w="1064"/>
        <w:gridCol w:w="798"/>
        <w:gridCol w:w="1100"/>
        <w:gridCol w:w="941"/>
        <w:gridCol w:w="1084"/>
        <w:gridCol w:w="1853"/>
        <w:gridCol w:w="1084"/>
        <w:gridCol w:w="1804"/>
      </w:tblGrid>
      <w:tr w:rsidR="00E31439" w:rsidRPr="008C1717" w:rsidTr="00E31439">
        <w:trPr>
          <w:trHeight w:val="9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Классификатор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71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оборудования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71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ремонтных мероприятий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717">
              <w:rPr>
                <w:rFonts w:ascii="Times New Roman" w:hAnsi="Times New Roman"/>
                <w:b/>
                <w:bCs/>
                <w:sz w:val="24"/>
                <w:szCs w:val="24"/>
              </w:rPr>
              <w:t>Заводской номер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717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717">
              <w:rPr>
                <w:rFonts w:ascii="Times New Roman" w:hAnsi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717"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717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Подразделение и адрес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366023" w:rsidRDefault="00E31439" w:rsidP="00EE3A32">
            <w:pPr>
              <w:jc w:val="center"/>
              <w:rPr>
                <w:b/>
                <w:bCs/>
              </w:rPr>
            </w:pPr>
            <w:r w:rsidRPr="00366023">
              <w:rPr>
                <w:b/>
                <w:bCs/>
              </w:rPr>
              <w:t>Начальная (максимальная) цена за единицу,</w:t>
            </w:r>
            <w:r w:rsidRPr="00366023">
              <w:rPr>
                <w:b/>
                <w:bCs/>
              </w:rPr>
              <w:br/>
              <w:t>руб.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366023" w:rsidRDefault="00E31439" w:rsidP="00EE3A32">
            <w:pPr>
              <w:jc w:val="center"/>
              <w:rPr>
                <w:b/>
                <w:bCs/>
              </w:rPr>
            </w:pPr>
            <w:r w:rsidRPr="00366023">
              <w:rPr>
                <w:b/>
                <w:bCs/>
              </w:rPr>
              <w:t>Количество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366023" w:rsidRDefault="00E31439" w:rsidP="00EE3A32">
            <w:pPr>
              <w:jc w:val="center"/>
              <w:rPr>
                <w:b/>
                <w:bCs/>
              </w:rPr>
            </w:pPr>
            <w:r w:rsidRPr="00366023">
              <w:rPr>
                <w:b/>
                <w:bCs/>
              </w:rPr>
              <w:t>Начальная (максимальная) цена общая,</w:t>
            </w:r>
            <w:r w:rsidRPr="00366023">
              <w:rPr>
                <w:b/>
                <w:bCs/>
              </w:rPr>
              <w:br/>
              <w:t>руб.</w:t>
            </w:r>
          </w:p>
        </w:tc>
      </w:tr>
      <w:tr w:rsidR="00E31439" w:rsidRPr="008C1717" w:rsidTr="00E31439">
        <w:trPr>
          <w:trHeight w:val="437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Томограф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 xml:space="preserve">Томограф магнитно-резонансный </w:t>
            </w:r>
            <w:r w:rsidRPr="008C1717">
              <w:rPr>
                <w:rFonts w:ascii="Times New Roman" w:hAnsi="Times New Roman"/>
                <w:sz w:val="24"/>
                <w:szCs w:val="24"/>
                <w:lang w:val="en-US"/>
              </w:rPr>
              <w:t>MAGNETOM</w:t>
            </w:r>
            <w:r w:rsidRPr="008C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717">
              <w:rPr>
                <w:rFonts w:ascii="Times New Roman" w:hAnsi="Times New Roman"/>
                <w:sz w:val="24"/>
                <w:szCs w:val="24"/>
                <w:lang w:val="en-US"/>
              </w:rPr>
              <w:t>ESSENZA</w:t>
            </w:r>
            <w:r w:rsidRPr="008C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71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C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717">
              <w:rPr>
                <w:rFonts w:ascii="Times New Roman" w:hAnsi="Times New Roman"/>
                <w:sz w:val="24"/>
                <w:szCs w:val="24"/>
                <w:lang w:val="en-US"/>
              </w:rPr>
              <w:t>Tim</w:t>
            </w:r>
            <w:r w:rsidRPr="008C1717">
              <w:rPr>
                <w:rFonts w:ascii="Times New Roman" w:hAnsi="Times New Roman"/>
                <w:sz w:val="24"/>
                <w:szCs w:val="24"/>
              </w:rPr>
              <w:t>+</w:t>
            </w:r>
            <w:r w:rsidRPr="008C1717">
              <w:rPr>
                <w:rFonts w:ascii="Times New Roman" w:hAnsi="Times New Roman"/>
                <w:sz w:val="24"/>
                <w:szCs w:val="24"/>
                <w:lang w:val="en-US"/>
              </w:rPr>
              <w:t>Dot</w:t>
            </w:r>
            <w:r w:rsidRPr="008C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717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8C1717">
              <w:rPr>
                <w:rFonts w:ascii="Times New Roman" w:hAnsi="Times New Roman"/>
                <w:sz w:val="24"/>
                <w:szCs w:val="24"/>
              </w:rPr>
              <w:t xml:space="preserve"> с принадлежностями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 xml:space="preserve">Ремонт радиочастотного усилителя </w:t>
            </w:r>
            <w:r w:rsidRPr="008C1717">
              <w:rPr>
                <w:rFonts w:ascii="Times New Roman" w:hAnsi="Times New Roman"/>
                <w:sz w:val="24"/>
                <w:szCs w:val="24"/>
                <w:lang w:val="en-US"/>
              </w:rPr>
              <w:t>RFPA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150094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7456054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 2018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Хирургический стационар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color w:val="000000"/>
                <w:sz w:val="24"/>
                <w:szCs w:val="24"/>
              </w:rPr>
              <w:t>443029, г. Самара, ул. Ново-Садовая, 222б, стр 1,2</w:t>
            </w:r>
          </w:p>
        </w:tc>
        <w:tc>
          <w:tcPr>
            <w:tcW w:w="185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1439" w:rsidRPr="008C1717" w:rsidTr="00E31439">
        <w:trPr>
          <w:trHeight w:val="6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Поднятие магнитного поля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1439" w:rsidRPr="008C1717" w:rsidTr="00E31439">
        <w:trPr>
          <w:trHeight w:val="61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Ремонт градиентной катушки МРТ</w:t>
            </w:r>
          </w:p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(</w:t>
            </w:r>
            <w:r w:rsidRPr="008C17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случае квенча при выполнении работ,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Подрядчик </w:t>
            </w:r>
            <w:r w:rsidRPr="008C1717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 в течение двух рабочих дней с момента квенча за свой счет приобретает необходимое количество жидкого гелия, заправляет МРТ и повторно проводит процедуру поднятия магнитного поля и последующие необходимые работы</w:t>
            </w:r>
            <w:r w:rsidRPr="008C17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16E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  <w:r w:rsidR="00D1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84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усл.ед</w:t>
            </w:r>
          </w:p>
        </w:tc>
        <w:tc>
          <w:tcPr>
            <w:tcW w:w="1804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16E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  <w:r w:rsidR="00D16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 w:rsidR="00E31439" w:rsidRPr="008C1717" w:rsidTr="00E31439">
        <w:trPr>
          <w:trHeight w:val="12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Настройка и проверка РЧ такта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1439" w:rsidRPr="008C1717" w:rsidTr="00E31439">
        <w:trPr>
          <w:trHeight w:val="12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>Шиммирование томографа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1439" w:rsidRPr="008C1717" w:rsidTr="00E31439">
        <w:trPr>
          <w:trHeight w:val="128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17">
              <w:rPr>
                <w:rFonts w:ascii="Times New Roman" w:hAnsi="Times New Roman"/>
                <w:sz w:val="24"/>
                <w:szCs w:val="24"/>
              </w:rPr>
              <w:t xml:space="preserve">Процедура </w:t>
            </w:r>
            <w:r w:rsidRPr="008C1717">
              <w:rPr>
                <w:rFonts w:ascii="Times New Roman" w:hAnsi="Times New Roman"/>
                <w:sz w:val="24"/>
                <w:szCs w:val="24"/>
                <w:lang w:val="en-US"/>
              </w:rPr>
              <w:t>tune-up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39" w:rsidRPr="008C1717" w:rsidRDefault="00E31439" w:rsidP="00E06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1FFC" w:rsidRDefault="005E1FFC" w:rsidP="005E1FFC">
      <w:pPr>
        <w:spacing w:after="0"/>
        <w:jc w:val="both"/>
      </w:pPr>
    </w:p>
    <w:p w:rsidR="00E31439" w:rsidRDefault="00E31439">
      <w:pPr>
        <w:sectPr w:rsidR="00E31439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D16EE7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E1FFC"/>
    <w:rsid w:val="001A48D4"/>
    <w:rsid w:val="001F0F86"/>
    <w:rsid w:val="0026298D"/>
    <w:rsid w:val="00276259"/>
    <w:rsid w:val="002C3E19"/>
    <w:rsid w:val="00386F21"/>
    <w:rsid w:val="003975B9"/>
    <w:rsid w:val="00465304"/>
    <w:rsid w:val="00474E74"/>
    <w:rsid w:val="004E0761"/>
    <w:rsid w:val="00510DBB"/>
    <w:rsid w:val="005244E9"/>
    <w:rsid w:val="005E1FFC"/>
    <w:rsid w:val="006A328F"/>
    <w:rsid w:val="00704E75"/>
    <w:rsid w:val="00767BDA"/>
    <w:rsid w:val="008953D4"/>
    <w:rsid w:val="00920742"/>
    <w:rsid w:val="009E7446"/>
    <w:rsid w:val="009E7728"/>
    <w:rsid w:val="00A217CB"/>
    <w:rsid w:val="00A3046A"/>
    <w:rsid w:val="00AC12B9"/>
    <w:rsid w:val="00AC702B"/>
    <w:rsid w:val="00AE6693"/>
    <w:rsid w:val="00AF7D05"/>
    <w:rsid w:val="00BD4B61"/>
    <w:rsid w:val="00D16EE7"/>
    <w:rsid w:val="00D53C83"/>
    <w:rsid w:val="00E31439"/>
    <w:rsid w:val="00E43FF8"/>
    <w:rsid w:val="00E705FB"/>
    <w:rsid w:val="00E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6</cp:revision>
  <dcterms:created xsi:type="dcterms:W3CDTF">2022-06-28T10:00:00Z</dcterms:created>
  <dcterms:modified xsi:type="dcterms:W3CDTF">2022-06-28T13:17:00Z</dcterms:modified>
</cp:coreProperties>
</file>